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firstLineChars="200"/>
        <w:jc w:val="center"/>
        <w:rPr>
          <w:rFonts w:cs="Arial"/>
          <w:color w:val="000000"/>
          <w:sz w:val="24"/>
        </w:rPr>
      </w:pPr>
      <w:r>
        <w:rPr>
          <w:rFonts w:hint="eastAsia" w:cs="Arial"/>
          <w:color w:val="000000"/>
          <w:sz w:val="24"/>
        </w:rPr>
        <w:t>理疗电极片</w:t>
      </w:r>
      <w:r>
        <w:rPr>
          <w:rFonts w:hint="eastAsia" w:cs="Arial"/>
          <w:color w:val="000000"/>
          <w:sz w:val="24"/>
          <w:lang w:val="en-US" w:eastAsia="zh-CN"/>
        </w:rPr>
        <w:t>等项目</w:t>
      </w:r>
      <w:r>
        <w:rPr>
          <w:rFonts w:hint="eastAsia" w:cs="Arial"/>
          <w:color w:val="000000"/>
          <w:sz w:val="24"/>
        </w:rPr>
        <w:t>竞价谈判公告</w:t>
      </w:r>
    </w:p>
    <w:p>
      <w:pPr>
        <w:spacing w:line="360" w:lineRule="auto"/>
        <w:ind w:firstLine="480" w:firstLineChars="200"/>
        <w:rPr>
          <w:rFonts w:cs="Arial"/>
          <w:color w:val="000000"/>
          <w:sz w:val="24"/>
        </w:rPr>
      </w:pPr>
      <w:r>
        <w:rPr>
          <w:rFonts w:hint="eastAsia" w:cs="Arial"/>
          <w:color w:val="000000"/>
          <w:sz w:val="24"/>
        </w:rPr>
        <w:t>根据国家相关法律法规的规定和《皖医二附院采购管理办法》，依照公开、公平、公正的原则，现对理疗电极片</w:t>
      </w:r>
      <w:r>
        <w:rPr>
          <w:rFonts w:hint="eastAsia" w:cs="Arial"/>
          <w:color w:val="000000"/>
          <w:sz w:val="24"/>
          <w:lang w:val="en-US" w:eastAsia="zh-CN"/>
        </w:rPr>
        <w:t>等项目</w:t>
      </w:r>
      <w:r>
        <w:rPr>
          <w:rFonts w:hint="eastAsia" w:cs="Arial"/>
          <w:color w:val="000000"/>
          <w:sz w:val="24"/>
        </w:rPr>
        <w:t>拟采取竞价谈判的方式进行采购，欢迎符合条件的供应商报名参加投标。</w:t>
      </w:r>
    </w:p>
    <w:p>
      <w:pPr>
        <w:spacing w:line="360" w:lineRule="auto"/>
        <w:rPr>
          <w:rFonts w:cs="Arial"/>
          <w:color w:val="000000"/>
          <w:sz w:val="24"/>
        </w:rPr>
      </w:pPr>
      <w:r>
        <w:rPr>
          <w:rFonts w:hint="eastAsia" w:cs="Arial"/>
          <w:color w:val="000000"/>
          <w:sz w:val="24"/>
        </w:rPr>
        <w:t>一、谈判编号：2021-</w:t>
      </w:r>
      <w:r>
        <w:rPr>
          <w:rFonts w:hint="eastAsia" w:cs="Arial"/>
          <w:color w:val="000000"/>
          <w:sz w:val="24"/>
          <w:lang w:val="en-US" w:eastAsia="zh-CN"/>
        </w:rPr>
        <w:t>110</w:t>
      </w:r>
      <w:r>
        <w:rPr>
          <w:rFonts w:hint="eastAsia" w:cs="Arial"/>
          <w:color w:val="000000"/>
          <w:sz w:val="24"/>
        </w:rPr>
        <w:t>；</w:t>
      </w:r>
    </w:p>
    <w:p>
      <w:pPr>
        <w:spacing w:line="360" w:lineRule="auto"/>
        <w:rPr>
          <w:rFonts w:cs="Arial"/>
          <w:color w:val="000000"/>
          <w:sz w:val="24"/>
        </w:rPr>
      </w:pPr>
      <w:r>
        <w:rPr>
          <w:rFonts w:hint="eastAsia" w:cs="Arial"/>
          <w:color w:val="000000"/>
          <w:sz w:val="24"/>
        </w:rPr>
        <w:t>二、项目名称：理疗电极片</w:t>
      </w:r>
      <w:r>
        <w:rPr>
          <w:rFonts w:hint="eastAsia" w:cs="Arial"/>
          <w:color w:val="000000"/>
          <w:sz w:val="24"/>
          <w:lang w:val="en-US" w:eastAsia="zh-CN"/>
        </w:rPr>
        <w:t>等项目</w:t>
      </w:r>
      <w:r>
        <w:rPr>
          <w:rFonts w:hint="eastAsia" w:cs="Arial"/>
          <w:color w:val="000000"/>
          <w:sz w:val="24"/>
        </w:rPr>
        <w:t>；</w:t>
      </w:r>
    </w:p>
    <w:tbl>
      <w:tblPr>
        <w:tblStyle w:val="6"/>
        <w:tblpPr w:leftFromText="180" w:rightFromText="180" w:vertAnchor="text" w:horzAnchor="page" w:tblpX="1783" w:tblpY="786"/>
        <w:tblOverlap w:val="never"/>
        <w:tblW w:w="54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
        <w:gridCol w:w="3111"/>
        <w:gridCol w:w="1909"/>
        <w:gridCol w:w="1553"/>
        <w:gridCol w:w="1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2" w:hRule="atLeast"/>
        </w:trPr>
        <w:tc>
          <w:tcPr>
            <w:tcW w:w="509" w:type="pct"/>
            <w:vAlign w:val="center"/>
          </w:tcPr>
          <w:p>
            <w:pPr>
              <w:jc w:val="center"/>
              <w:textAlignment w:val="center"/>
              <w:rPr>
                <w:rFonts w:hint="eastAsia"/>
                <w:sz w:val="28"/>
                <w:szCs w:val="32"/>
                <w:lang w:val="en-US" w:eastAsia="zh-CN"/>
              </w:rPr>
            </w:pPr>
            <w:bookmarkStart w:id="0" w:name="_GoBack"/>
            <w:r>
              <w:rPr>
                <w:rFonts w:hint="eastAsia"/>
                <w:sz w:val="28"/>
                <w:szCs w:val="32"/>
                <w:lang w:val="en-US" w:eastAsia="zh-CN"/>
              </w:rPr>
              <w:t>包号</w:t>
            </w:r>
          </w:p>
        </w:tc>
        <w:tc>
          <w:tcPr>
            <w:tcW w:w="1683" w:type="pct"/>
            <w:vAlign w:val="center"/>
          </w:tcPr>
          <w:p>
            <w:pPr>
              <w:jc w:val="center"/>
              <w:textAlignment w:val="center"/>
              <w:rPr>
                <w:rFonts w:hint="eastAsia"/>
                <w:sz w:val="28"/>
                <w:szCs w:val="32"/>
                <w:lang w:val="en-US" w:eastAsia="zh-CN"/>
              </w:rPr>
            </w:pPr>
            <w:r>
              <w:rPr>
                <w:rFonts w:hint="eastAsia"/>
                <w:sz w:val="28"/>
                <w:szCs w:val="32"/>
                <w:lang w:val="en-US" w:eastAsia="zh-CN"/>
              </w:rPr>
              <w:t>项目名称</w:t>
            </w:r>
          </w:p>
        </w:tc>
        <w:tc>
          <w:tcPr>
            <w:tcW w:w="1033" w:type="pct"/>
            <w:vAlign w:val="center"/>
          </w:tcPr>
          <w:p>
            <w:pPr>
              <w:jc w:val="center"/>
              <w:textAlignment w:val="center"/>
              <w:rPr>
                <w:rFonts w:hint="default" w:ascii="Tahoma" w:hAnsi="Tahoma" w:eastAsia="微软雅黑" w:cstheme="minorBidi"/>
                <w:sz w:val="28"/>
                <w:szCs w:val="32"/>
                <w:lang w:val="en-US" w:eastAsia="zh-CN" w:bidi="ar-SA"/>
              </w:rPr>
            </w:pPr>
            <w:r>
              <w:rPr>
                <w:rFonts w:hint="eastAsia" w:cstheme="minorBidi"/>
                <w:sz w:val="28"/>
                <w:szCs w:val="32"/>
                <w:lang w:val="en-US" w:eastAsia="zh-CN" w:bidi="ar-SA"/>
              </w:rPr>
              <w:t>数量</w:t>
            </w:r>
          </w:p>
        </w:tc>
        <w:tc>
          <w:tcPr>
            <w:tcW w:w="840" w:type="pct"/>
            <w:vAlign w:val="center"/>
          </w:tcPr>
          <w:p>
            <w:pPr>
              <w:jc w:val="center"/>
              <w:textAlignment w:val="center"/>
              <w:rPr>
                <w:rFonts w:hint="eastAsia" w:eastAsia="微软雅黑"/>
                <w:sz w:val="28"/>
                <w:szCs w:val="32"/>
                <w:lang w:eastAsia="zh-CN"/>
              </w:rPr>
            </w:pPr>
            <w:r>
              <w:rPr>
                <w:rFonts w:hint="eastAsia"/>
                <w:sz w:val="28"/>
                <w:szCs w:val="32"/>
                <w:lang w:val="en-US" w:eastAsia="zh-CN"/>
              </w:rPr>
              <w:t>参数要求</w:t>
            </w:r>
          </w:p>
        </w:tc>
        <w:tc>
          <w:tcPr>
            <w:tcW w:w="933" w:type="pct"/>
            <w:vAlign w:val="center"/>
          </w:tcPr>
          <w:p>
            <w:pPr>
              <w:jc w:val="center"/>
              <w:textAlignment w:val="center"/>
              <w:rPr>
                <w:rFonts w:hint="default"/>
                <w:sz w:val="28"/>
                <w:szCs w:val="32"/>
                <w:lang w:val="en-US" w:eastAsia="zh-CN"/>
              </w:rPr>
            </w:pPr>
            <w:r>
              <w:rPr>
                <w:rFonts w:hint="eastAsia"/>
                <w:sz w:val="28"/>
                <w:szCs w:val="32"/>
                <w:lang w:val="en-US" w:eastAsia="zh-CN"/>
              </w:rPr>
              <w:t>使用科室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09" w:type="pct"/>
            <w:vAlign w:val="center"/>
          </w:tcPr>
          <w:p>
            <w:pPr>
              <w:jc w:val="center"/>
              <w:textAlignment w:val="center"/>
              <w:rPr>
                <w:rFonts w:hint="eastAsia"/>
                <w:sz w:val="28"/>
                <w:szCs w:val="32"/>
                <w:lang w:val="en-US" w:eastAsia="zh-CN"/>
              </w:rPr>
            </w:pPr>
            <w:r>
              <w:rPr>
                <w:rFonts w:hint="eastAsia"/>
                <w:sz w:val="28"/>
                <w:szCs w:val="32"/>
                <w:lang w:val="en-US" w:eastAsia="zh-CN"/>
              </w:rPr>
              <w:t>01</w:t>
            </w:r>
          </w:p>
        </w:tc>
        <w:tc>
          <w:tcPr>
            <w:tcW w:w="1683" w:type="pct"/>
            <w:vAlign w:val="center"/>
          </w:tcPr>
          <w:p>
            <w:pPr>
              <w:jc w:val="center"/>
              <w:textAlignment w:val="center"/>
              <w:rPr>
                <w:rFonts w:hint="default"/>
                <w:sz w:val="28"/>
                <w:szCs w:val="32"/>
                <w:lang w:val="en-US" w:eastAsia="zh-CN"/>
              </w:rPr>
            </w:pPr>
            <w:r>
              <w:rPr>
                <w:rFonts w:hint="eastAsia" w:cs="Arial"/>
                <w:color w:val="000000"/>
                <w:sz w:val="24"/>
              </w:rPr>
              <w:t>理疗电极片</w:t>
            </w:r>
          </w:p>
        </w:tc>
        <w:tc>
          <w:tcPr>
            <w:tcW w:w="1033" w:type="pct"/>
            <w:vAlign w:val="center"/>
          </w:tcPr>
          <w:p>
            <w:pPr>
              <w:jc w:val="center"/>
              <w:textAlignment w:val="center"/>
              <w:rPr>
                <w:rFonts w:hint="eastAsia"/>
                <w:sz w:val="28"/>
                <w:szCs w:val="32"/>
                <w:lang w:val="en-US" w:eastAsia="zh-CN"/>
              </w:rPr>
            </w:pPr>
            <w:r>
              <w:rPr>
                <w:rFonts w:hint="eastAsia" w:cs="Arial"/>
                <w:color w:val="000000"/>
                <w:sz w:val="24"/>
                <w:lang w:val="en-US" w:eastAsia="zh-CN"/>
              </w:rPr>
              <w:t>普通杯200人份，ADP途径300人份，AA途径300人份，AA及ADP途径200人份</w:t>
            </w:r>
          </w:p>
        </w:tc>
        <w:tc>
          <w:tcPr>
            <w:tcW w:w="840" w:type="pct"/>
            <w:vMerge w:val="restart"/>
            <w:vAlign w:val="center"/>
          </w:tcPr>
          <w:p>
            <w:pPr>
              <w:jc w:val="center"/>
              <w:textAlignment w:val="center"/>
              <w:rPr>
                <w:rFonts w:hint="eastAsia"/>
                <w:sz w:val="28"/>
                <w:szCs w:val="32"/>
                <w:lang w:val="en-US" w:eastAsia="zh-CN"/>
              </w:rPr>
            </w:pPr>
            <w:r>
              <w:rPr>
                <w:rFonts w:hint="eastAsia"/>
                <w:sz w:val="28"/>
                <w:szCs w:val="32"/>
                <w:lang w:val="en-US" w:eastAsia="zh-CN"/>
              </w:rPr>
              <w:t>见附件4</w:t>
            </w:r>
          </w:p>
        </w:tc>
        <w:tc>
          <w:tcPr>
            <w:tcW w:w="933" w:type="pct"/>
            <w:vMerge w:val="restart"/>
            <w:vAlign w:val="center"/>
          </w:tcPr>
          <w:p>
            <w:pPr>
              <w:jc w:val="center"/>
              <w:textAlignment w:val="center"/>
              <w:rPr>
                <w:rFonts w:hint="default"/>
                <w:sz w:val="28"/>
                <w:szCs w:val="32"/>
                <w:lang w:val="en-US" w:eastAsia="zh-CN"/>
              </w:rPr>
            </w:pPr>
            <w:r>
              <w:rPr>
                <w:rFonts w:hint="eastAsia"/>
                <w:sz w:val="28"/>
                <w:szCs w:val="32"/>
                <w:lang w:val="en-US" w:eastAsia="zh-CN"/>
              </w:rPr>
              <w:t>神经内科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3" w:hRule="atLeast"/>
        </w:trPr>
        <w:tc>
          <w:tcPr>
            <w:tcW w:w="509" w:type="pct"/>
            <w:vAlign w:val="center"/>
          </w:tcPr>
          <w:p>
            <w:pPr>
              <w:jc w:val="center"/>
              <w:textAlignment w:val="center"/>
              <w:rPr>
                <w:rFonts w:hint="default"/>
                <w:sz w:val="28"/>
                <w:szCs w:val="32"/>
                <w:lang w:val="en-US" w:eastAsia="zh-CN"/>
              </w:rPr>
            </w:pPr>
            <w:r>
              <w:rPr>
                <w:rFonts w:hint="eastAsia"/>
                <w:sz w:val="28"/>
                <w:szCs w:val="32"/>
                <w:lang w:val="en-US" w:eastAsia="zh-CN"/>
              </w:rPr>
              <w:t>02</w:t>
            </w:r>
          </w:p>
        </w:tc>
        <w:tc>
          <w:tcPr>
            <w:tcW w:w="1683" w:type="pct"/>
            <w:vAlign w:val="center"/>
          </w:tcPr>
          <w:p>
            <w:pPr>
              <w:jc w:val="center"/>
              <w:textAlignment w:val="center"/>
              <w:rPr>
                <w:rFonts w:hint="default"/>
                <w:sz w:val="28"/>
                <w:szCs w:val="32"/>
                <w:lang w:val="en-US" w:eastAsia="zh-CN"/>
              </w:rPr>
            </w:pPr>
            <w:r>
              <w:rPr>
                <w:rFonts w:hint="eastAsia"/>
              </w:rPr>
              <w:t>血栓弹力图仪</w:t>
            </w:r>
          </w:p>
        </w:tc>
        <w:tc>
          <w:tcPr>
            <w:tcW w:w="1033" w:type="pct"/>
            <w:vAlign w:val="center"/>
          </w:tcPr>
          <w:p>
            <w:pPr>
              <w:jc w:val="center"/>
              <w:textAlignment w:val="center"/>
              <w:rPr>
                <w:rFonts w:hint="eastAsia"/>
                <w:sz w:val="28"/>
                <w:szCs w:val="32"/>
                <w:lang w:val="en-US" w:eastAsia="zh-CN"/>
              </w:rPr>
            </w:pPr>
            <w:r>
              <w:rPr>
                <w:rFonts w:hint="eastAsia"/>
                <w:b w:val="0"/>
                <w:bCs w:val="0"/>
                <w:sz w:val="28"/>
                <w:szCs w:val="28"/>
                <w:lang w:val="en-US" w:eastAsia="zh-CN"/>
              </w:rPr>
              <w:t>100片</w:t>
            </w:r>
          </w:p>
        </w:tc>
        <w:tc>
          <w:tcPr>
            <w:tcW w:w="840" w:type="pct"/>
            <w:vMerge w:val="continue"/>
            <w:vAlign w:val="center"/>
          </w:tcPr>
          <w:p>
            <w:pPr>
              <w:jc w:val="center"/>
              <w:textAlignment w:val="center"/>
              <w:rPr>
                <w:rFonts w:hint="eastAsia"/>
                <w:sz w:val="28"/>
                <w:szCs w:val="32"/>
                <w:lang w:val="en-US" w:eastAsia="zh-CN"/>
              </w:rPr>
            </w:pPr>
          </w:p>
        </w:tc>
        <w:tc>
          <w:tcPr>
            <w:tcW w:w="933" w:type="pct"/>
            <w:vMerge w:val="continue"/>
            <w:tcBorders/>
            <w:vAlign w:val="center"/>
          </w:tcPr>
          <w:p>
            <w:pPr>
              <w:jc w:val="center"/>
              <w:textAlignment w:val="center"/>
              <w:rPr>
                <w:rFonts w:hint="eastAsia"/>
                <w:sz w:val="28"/>
                <w:szCs w:val="32"/>
                <w:lang w:val="en-US" w:eastAsia="zh-CN"/>
              </w:rPr>
            </w:pPr>
          </w:p>
        </w:tc>
      </w:tr>
      <w:bookmarkEnd w:id="0"/>
    </w:tbl>
    <w:p>
      <w:pPr>
        <w:spacing w:line="360" w:lineRule="auto"/>
        <w:rPr>
          <w:rFonts w:hint="eastAsia" w:cs="Arial"/>
          <w:color w:val="000000"/>
          <w:sz w:val="24"/>
        </w:rPr>
      </w:pPr>
    </w:p>
    <w:p>
      <w:pPr>
        <w:spacing w:line="360" w:lineRule="auto"/>
        <w:rPr>
          <w:rFonts w:hint="eastAsia" w:cs="Arial"/>
          <w:color w:val="000000"/>
          <w:sz w:val="24"/>
        </w:rPr>
      </w:pPr>
    </w:p>
    <w:p>
      <w:pPr>
        <w:spacing w:line="360" w:lineRule="auto"/>
        <w:rPr>
          <w:rFonts w:hint="eastAsia" w:cs="Arial"/>
          <w:color w:val="000000"/>
          <w:sz w:val="24"/>
        </w:rPr>
      </w:pPr>
    </w:p>
    <w:p>
      <w:pPr>
        <w:spacing w:line="360" w:lineRule="auto"/>
        <w:rPr>
          <w:rFonts w:hint="eastAsia" w:cs="Arial"/>
          <w:color w:val="000000"/>
          <w:sz w:val="24"/>
        </w:rPr>
      </w:pPr>
    </w:p>
    <w:p>
      <w:pPr>
        <w:spacing w:line="360" w:lineRule="auto"/>
        <w:rPr>
          <w:rFonts w:hint="eastAsia" w:cs="Arial"/>
          <w:color w:val="000000"/>
          <w:sz w:val="24"/>
        </w:rPr>
      </w:pPr>
    </w:p>
    <w:p>
      <w:pPr>
        <w:spacing w:line="360" w:lineRule="auto"/>
        <w:rPr>
          <w:rFonts w:hint="eastAsia" w:cs="Arial"/>
          <w:color w:val="000000"/>
          <w:sz w:val="24"/>
        </w:rPr>
      </w:pPr>
    </w:p>
    <w:p>
      <w:pPr>
        <w:spacing w:line="360" w:lineRule="auto"/>
        <w:rPr>
          <w:rFonts w:hint="eastAsia" w:cs="Arial"/>
          <w:color w:val="000000"/>
          <w:sz w:val="24"/>
        </w:rPr>
      </w:pPr>
    </w:p>
    <w:p>
      <w:pPr>
        <w:spacing w:line="360" w:lineRule="auto"/>
        <w:rPr>
          <w:rFonts w:hint="eastAsia" w:cs="Arial"/>
          <w:color w:val="000000"/>
          <w:sz w:val="24"/>
        </w:rPr>
      </w:pPr>
    </w:p>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cs="Arial"/>
          <w:color w:val="000000"/>
          <w:sz w:val="24"/>
        </w:rPr>
      </w:pPr>
      <w:r>
        <w:rPr>
          <w:rFonts w:hint="eastAsia" w:cs="Arial"/>
          <w:color w:val="000000"/>
          <w:sz w:val="24"/>
        </w:rPr>
        <w:t>2.谈判响应方若为制造商，须具有针对所投产品有效的医疗器械生产许可证（二类、三类）或第一类医疗器械生产备案凭证（一类），消毒类产品须提供有效的消毒产品生产企业卫生许可证；</w:t>
      </w:r>
    </w:p>
    <w:p>
      <w:pPr>
        <w:spacing w:line="360" w:lineRule="auto"/>
        <w:rPr>
          <w:rFonts w:hint="eastAsia" w:cs="Arial"/>
          <w:color w:val="000000"/>
          <w:sz w:val="24"/>
        </w:rPr>
      </w:pPr>
      <w:r>
        <w:rPr>
          <w:rFonts w:hint="eastAsia" w:cs="Arial"/>
          <w:color w:val="000000"/>
          <w:sz w:val="24"/>
        </w:rPr>
        <w:t>3.谈判响应方若为代理商，须具有有效的医疗器械经营许可证（三类）或有效的第二类医疗器械经营备案凭证（二类），一类医疗器械可以不提供本项，消毒类产品须具有卫生消毒类产品经营范围；</w:t>
      </w:r>
    </w:p>
    <w:p>
      <w:pPr>
        <w:spacing w:line="360" w:lineRule="auto"/>
        <w:rPr>
          <w:rFonts w:ascii="宋体" w:hAnsi="宋体" w:cs="宋体"/>
          <w:bCs/>
          <w:sz w:val="24"/>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医疗器械备案凭证（一类），消毒类产品须提供有效的消毒产品卫生安全评价报告；</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hint="eastAsia" w:ascii="宋体" w:hAnsi="宋体" w:cs="宋体"/>
          <w:bCs/>
          <w:color w:val="000000"/>
          <w:sz w:val="24"/>
        </w:rPr>
      </w:pPr>
      <w:r>
        <w:rPr>
          <w:rFonts w:hint="eastAsia" w:ascii="宋体" w:hAnsi="宋体" w:cs="宋体"/>
          <w:bCs/>
          <w:color w:val="000000"/>
          <w:sz w:val="24"/>
        </w:rPr>
        <w:t>（4）近三年内（2018年</w:t>
      </w:r>
      <w:r>
        <w:rPr>
          <w:rFonts w:hint="eastAsia" w:ascii="宋体" w:hAnsi="宋体" w:cs="宋体"/>
          <w:bCs/>
          <w:color w:val="000000"/>
          <w:sz w:val="24"/>
          <w:lang w:val="en-US" w:eastAsia="zh-CN"/>
        </w:rPr>
        <w:t>10</w:t>
      </w:r>
      <w:r>
        <w:rPr>
          <w:rFonts w:hint="eastAsia" w:ascii="宋体" w:hAnsi="宋体" w:cs="宋体"/>
          <w:bCs/>
          <w:color w:val="000000"/>
          <w:sz w:val="24"/>
        </w:rPr>
        <w:t>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hint="eastAsia" w:ascii="宋体" w:hAnsi="宋体"/>
          <w:sz w:val="24"/>
        </w:rPr>
      </w:pPr>
      <w:r>
        <w:rPr>
          <w:rFonts w:hint="eastAsia" w:ascii="宋体" w:hAnsi="宋体"/>
          <w:sz w:val="24"/>
        </w:rPr>
        <w:t>7.单位负责人为同一人或者存在直接控股、管理关系的谈判响应方，不得参加同一合同下的采购活动；</w:t>
      </w:r>
    </w:p>
    <w:p>
      <w:pPr>
        <w:spacing w:line="360" w:lineRule="auto"/>
        <w:rPr>
          <w:rFonts w:hint="eastAsia" w:cs="Arial"/>
          <w:color w:val="000000"/>
          <w:sz w:val="24"/>
        </w:rPr>
      </w:pP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p>
    <w:p>
      <w:pPr>
        <w:spacing w:line="360" w:lineRule="auto"/>
        <w:rPr>
          <w:rFonts w:hint="eastAsia" w:cs="Arial"/>
          <w:color w:val="000000"/>
          <w:sz w:val="24"/>
        </w:rPr>
      </w:pPr>
      <w:r>
        <w:rPr>
          <w:rFonts w:hint="eastAsia" w:cs="Arial"/>
          <w:color w:val="000000"/>
          <w:sz w:val="24"/>
        </w:rPr>
        <w:t>8.若所投产品在省医药集采平台医用耗材及检验试剂交易系统，须提供产品省集采信息 [提供省医药集采平台查询信息截图、集采情况一览表]；</w:t>
      </w:r>
    </w:p>
    <w:p>
      <w:pPr>
        <w:spacing w:line="360" w:lineRule="auto"/>
        <w:rPr>
          <w:rFonts w:cs="Arial"/>
          <w:color w:val="000000"/>
          <w:sz w:val="24"/>
        </w:rPr>
      </w:pP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w:t>
      </w:r>
      <w:r>
        <w:rPr>
          <w:rFonts w:hint="eastAsia" w:cs="Arial"/>
          <w:color w:val="000000"/>
          <w:sz w:val="24"/>
          <w:lang w:val="en-US" w:eastAsia="zh-CN"/>
        </w:rPr>
        <w:t>10</w:t>
      </w:r>
      <w:r>
        <w:rPr>
          <w:rFonts w:hint="eastAsia" w:cs="Arial"/>
          <w:color w:val="000000"/>
          <w:sz w:val="24"/>
        </w:rPr>
        <w:t>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14</w:t>
      </w:r>
      <w:r>
        <w:rPr>
          <w:rFonts w:hint="eastAsia" w:cs="Arial"/>
          <w:color w:val="000000"/>
          <w:sz w:val="24"/>
        </w:rPr>
        <w:t>日至2021年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20</w:t>
      </w:r>
      <w:r>
        <w:rPr>
          <w:rFonts w:hint="eastAsia" w:cs="Arial"/>
          <w:color w:val="000000"/>
          <w:sz w:val="24"/>
        </w:rPr>
        <w:t>日止，上午8：00-11：30、下午14：</w:t>
      </w:r>
      <w:r>
        <w:rPr>
          <w:rFonts w:hint="eastAsia" w:cs="Arial"/>
          <w:color w:val="000000"/>
          <w:sz w:val="24"/>
          <w:lang w:val="en-US" w:eastAsia="zh-CN"/>
        </w:rPr>
        <w:t>0</w:t>
      </w:r>
      <w:r>
        <w:rPr>
          <w:rFonts w:hint="eastAsia" w:cs="Arial"/>
          <w:color w:val="000000"/>
          <w:sz w:val="24"/>
        </w:rPr>
        <w:t>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六、报名联系人：沈老师，联系电话：0553-2871845。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255BBC"/>
    <w:rsid w:val="00264FD2"/>
    <w:rsid w:val="00323B43"/>
    <w:rsid w:val="003D37D8"/>
    <w:rsid w:val="00426133"/>
    <w:rsid w:val="004358AB"/>
    <w:rsid w:val="005803D2"/>
    <w:rsid w:val="006A50D1"/>
    <w:rsid w:val="008B7726"/>
    <w:rsid w:val="00A32AA5"/>
    <w:rsid w:val="00A4116B"/>
    <w:rsid w:val="00D31D50"/>
    <w:rsid w:val="00ED15D6"/>
    <w:rsid w:val="2EFF592E"/>
    <w:rsid w:val="2F4B09E0"/>
    <w:rsid w:val="375B1921"/>
    <w:rsid w:val="45400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qFormat/>
    <w:uiPriority w:val="0"/>
    <w:pPr>
      <w:spacing w:after="120"/>
    </w:pPr>
  </w:style>
  <w:style w:type="paragraph" w:styleId="4">
    <w:name w:val="footer"/>
    <w:basedOn w:val="1"/>
    <w:link w:val="10"/>
    <w:semiHidden/>
    <w:unhideWhenUsed/>
    <w:uiPriority w:val="99"/>
    <w:pPr>
      <w:tabs>
        <w:tab w:val="center" w:pos="4153"/>
        <w:tab w:val="right" w:pos="8306"/>
      </w:tabs>
    </w:pPr>
    <w:rPr>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semiHidden/>
    <w:uiPriority w:val="99"/>
    <w:rPr>
      <w:rFonts w:ascii="Tahoma" w:hAnsi="Tahoma"/>
      <w:sz w:val="18"/>
      <w:szCs w:val="18"/>
    </w:rPr>
  </w:style>
  <w:style w:type="character" w:customStyle="1" w:styleId="10">
    <w:name w:val="页脚 Char"/>
    <w:basedOn w:val="8"/>
    <w:link w:val="4"/>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203</Words>
  <Characters>1160</Characters>
  <Lines>9</Lines>
  <Paragraphs>2</Paragraphs>
  <TotalTime>4</TotalTime>
  <ScaleCrop>false</ScaleCrop>
  <LinksUpToDate>false</LinksUpToDate>
  <CharactersWithSpaces>1361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2021-10-14T08:37:03Z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601C6D55892C47259CFF7FCF114E4180</vt:lpwstr>
  </property>
</Properties>
</file>